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138E" w14:textId="77777777" w:rsidR="00384A86" w:rsidRPr="00842AC8" w:rsidRDefault="00384A86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2C087F8" w14:textId="1A85859A" w:rsidR="0097203B" w:rsidRPr="00842AC8" w:rsidRDefault="0097203B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Mr. Russell Vought, Director</w:t>
      </w:r>
    </w:p>
    <w:p w14:paraId="03F0918F" w14:textId="0B5C5A27" w:rsidR="00194D29" w:rsidRPr="00842AC8" w:rsidRDefault="0097203B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 xml:space="preserve">Office of Management and Budget </w:t>
      </w:r>
    </w:p>
    <w:p w14:paraId="6CE000ED" w14:textId="39183DBD" w:rsidR="0097203B" w:rsidRPr="00842AC8" w:rsidRDefault="0097203B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Executive Office of the President</w:t>
      </w:r>
    </w:p>
    <w:p w14:paraId="0D7F2420" w14:textId="7FE770D1" w:rsidR="00194D29" w:rsidRPr="00842AC8" w:rsidRDefault="00194D29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Washington, DC 2050</w:t>
      </w:r>
      <w:r w:rsidR="0097203B" w:rsidRPr="00842AC8">
        <w:rPr>
          <w:rFonts w:ascii="Calibri" w:hAnsi="Calibri" w:cs="Calibri"/>
          <w:sz w:val="22"/>
          <w:szCs w:val="22"/>
        </w:rPr>
        <w:t>3</w:t>
      </w:r>
    </w:p>
    <w:p w14:paraId="60FCF053" w14:textId="22A156D8" w:rsidR="00194D29" w:rsidRPr="00842AC8" w:rsidRDefault="00194D29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28B6D15" w14:textId="77777777" w:rsidR="00F9117B" w:rsidRPr="00842AC8" w:rsidRDefault="0097203B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Mr. Vought</w:t>
      </w:r>
      <w:r w:rsidR="00F9117B" w:rsidRPr="00842AC8">
        <w:rPr>
          <w:rFonts w:ascii="Calibri" w:hAnsi="Calibri" w:cs="Calibri"/>
          <w:sz w:val="22"/>
          <w:szCs w:val="22"/>
        </w:rPr>
        <w:t>:</w:t>
      </w:r>
    </w:p>
    <w:p w14:paraId="657FD9CF" w14:textId="77777777" w:rsidR="00F9117B" w:rsidRPr="00842AC8" w:rsidRDefault="00F9117B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E598233" w14:textId="5F8D7F6F" w:rsidR="00FD6020" w:rsidRPr="00842AC8" w:rsidRDefault="00194D29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The undersigned scientific societies</w:t>
      </w:r>
      <w:r w:rsidR="00FD6020" w:rsidRPr="00842AC8">
        <w:rPr>
          <w:rFonts w:ascii="Calibri" w:hAnsi="Calibri" w:cs="Calibri"/>
          <w:sz w:val="22"/>
          <w:szCs w:val="22"/>
        </w:rPr>
        <w:t xml:space="preserve"> </w:t>
      </w:r>
      <w:r w:rsidR="00E92CF7" w:rsidRPr="00842AC8">
        <w:rPr>
          <w:rFonts w:ascii="Calibri" w:hAnsi="Calibri" w:cs="Calibri"/>
          <w:sz w:val="22"/>
          <w:szCs w:val="22"/>
        </w:rPr>
        <w:t xml:space="preserve">strongly </w:t>
      </w:r>
      <w:r w:rsidR="00E86CA0" w:rsidRPr="00842AC8">
        <w:rPr>
          <w:rFonts w:ascii="Calibri" w:hAnsi="Calibri" w:cs="Calibri"/>
          <w:sz w:val="22"/>
          <w:szCs w:val="22"/>
        </w:rPr>
        <w:t xml:space="preserve">urge </w:t>
      </w:r>
      <w:r w:rsidR="00FD6020" w:rsidRPr="00842AC8">
        <w:rPr>
          <w:rFonts w:ascii="Calibri" w:hAnsi="Calibri" w:cs="Calibri"/>
          <w:sz w:val="22"/>
          <w:szCs w:val="22"/>
        </w:rPr>
        <w:t xml:space="preserve">the Administration </w:t>
      </w:r>
      <w:r w:rsidR="0097203B" w:rsidRPr="00842AC8">
        <w:rPr>
          <w:rFonts w:ascii="Calibri" w:hAnsi="Calibri" w:cs="Calibri"/>
          <w:sz w:val="22"/>
          <w:szCs w:val="22"/>
        </w:rPr>
        <w:t xml:space="preserve">to </w:t>
      </w:r>
      <w:r w:rsidRPr="00842AC8">
        <w:rPr>
          <w:rFonts w:ascii="Calibri" w:hAnsi="Calibri" w:cs="Calibri"/>
          <w:sz w:val="22"/>
          <w:szCs w:val="22"/>
        </w:rPr>
        <w:t>re</w:t>
      </w:r>
      <w:r w:rsidR="00683181" w:rsidRPr="00842AC8">
        <w:rPr>
          <w:rFonts w:ascii="Calibri" w:hAnsi="Calibri" w:cs="Calibri"/>
          <w:sz w:val="22"/>
          <w:szCs w:val="22"/>
        </w:rPr>
        <w:t>scind</w:t>
      </w:r>
      <w:r w:rsidR="00FD6020" w:rsidRPr="00842AC8">
        <w:rPr>
          <w:rFonts w:ascii="Calibri" w:hAnsi="Calibri" w:cs="Calibri"/>
          <w:sz w:val="22"/>
          <w:szCs w:val="22"/>
        </w:rPr>
        <w:t xml:space="preserve"> </w:t>
      </w:r>
      <w:r w:rsidR="00E86CA0" w:rsidRPr="00842AC8">
        <w:rPr>
          <w:rFonts w:ascii="Calibri" w:hAnsi="Calibri" w:cs="Calibri"/>
          <w:sz w:val="22"/>
          <w:szCs w:val="22"/>
        </w:rPr>
        <w:t xml:space="preserve">its </w:t>
      </w:r>
      <w:r w:rsidR="00FD6020" w:rsidRPr="00842AC8">
        <w:rPr>
          <w:rFonts w:ascii="Calibri" w:hAnsi="Calibri" w:cs="Calibri"/>
          <w:sz w:val="22"/>
          <w:szCs w:val="22"/>
        </w:rPr>
        <w:t>elimination</w:t>
      </w:r>
      <w:r w:rsidRPr="00842AC8">
        <w:rPr>
          <w:rFonts w:ascii="Calibri" w:hAnsi="Calibri" w:cs="Calibri"/>
          <w:sz w:val="22"/>
          <w:szCs w:val="22"/>
        </w:rPr>
        <w:t xml:space="preserve"> of</w:t>
      </w:r>
      <w:r w:rsidR="00FD6020" w:rsidRPr="00842AC8">
        <w:rPr>
          <w:rFonts w:ascii="Calibri" w:hAnsi="Calibri" w:cs="Calibri"/>
          <w:sz w:val="22"/>
          <w:szCs w:val="22"/>
        </w:rPr>
        <w:t xml:space="preserve"> </w:t>
      </w:r>
      <w:r w:rsidR="00E92CF7" w:rsidRPr="00842AC8">
        <w:rPr>
          <w:rFonts w:ascii="Calibri" w:hAnsi="Calibri" w:cs="Calibri"/>
          <w:sz w:val="22"/>
          <w:szCs w:val="22"/>
        </w:rPr>
        <w:t xml:space="preserve">federal </w:t>
      </w:r>
      <w:r w:rsidR="00FD6020" w:rsidRPr="00842AC8">
        <w:rPr>
          <w:rFonts w:ascii="Calibri" w:hAnsi="Calibri" w:cs="Calibri"/>
          <w:sz w:val="22"/>
          <w:szCs w:val="22"/>
        </w:rPr>
        <w:t>employee training program</w:t>
      </w:r>
      <w:r w:rsidRPr="00842AC8">
        <w:rPr>
          <w:rFonts w:ascii="Calibri" w:hAnsi="Calibri" w:cs="Calibri"/>
          <w:sz w:val="22"/>
          <w:szCs w:val="22"/>
        </w:rPr>
        <w:t xml:space="preserve">s related to </w:t>
      </w:r>
      <w:r w:rsidR="000E273A" w:rsidRPr="00842AC8">
        <w:rPr>
          <w:rFonts w:ascii="Calibri" w:hAnsi="Calibri" w:cs="Calibri"/>
          <w:sz w:val="22"/>
          <w:szCs w:val="22"/>
        </w:rPr>
        <w:t>diversity, equity and inclusion</w:t>
      </w:r>
      <w:r w:rsidRPr="00842AC8">
        <w:rPr>
          <w:rFonts w:ascii="Calibri" w:hAnsi="Calibri" w:cs="Calibri"/>
          <w:sz w:val="22"/>
          <w:szCs w:val="22"/>
        </w:rPr>
        <w:t xml:space="preserve"> as</w:t>
      </w:r>
      <w:r w:rsidR="00FD6020" w:rsidRPr="00842AC8">
        <w:rPr>
          <w:rFonts w:ascii="Calibri" w:hAnsi="Calibri" w:cs="Calibri"/>
          <w:sz w:val="22"/>
          <w:szCs w:val="22"/>
        </w:rPr>
        <w:t xml:space="preserve"> </w:t>
      </w:r>
      <w:r w:rsidRPr="00842AC8">
        <w:rPr>
          <w:rFonts w:ascii="Calibri" w:hAnsi="Calibri" w:cs="Calibri"/>
          <w:sz w:val="22"/>
          <w:szCs w:val="22"/>
        </w:rPr>
        <w:t xml:space="preserve">specified in the </w:t>
      </w:r>
      <w:r w:rsidR="00FD6020" w:rsidRPr="00842AC8">
        <w:rPr>
          <w:rFonts w:ascii="Calibri" w:hAnsi="Calibri" w:cs="Calibri"/>
          <w:sz w:val="22"/>
          <w:szCs w:val="22"/>
        </w:rPr>
        <w:t>Memorandum for the Heads of Executive Departments and Agencies issued September 4</w:t>
      </w:r>
      <w:r w:rsidR="00FD6020" w:rsidRPr="00842AC8">
        <w:rPr>
          <w:rFonts w:ascii="Calibri" w:hAnsi="Calibri" w:cs="Calibri"/>
          <w:sz w:val="22"/>
          <w:szCs w:val="22"/>
          <w:vertAlign w:val="superscript"/>
        </w:rPr>
        <w:t>th</w:t>
      </w:r>
      <w:r w:rsidR="00FD6020" w:rsidRPr="00842AC8">
        <w:rPr>
          <w:rFonts w:ascii="Calibri" w:hAnsi="Calibri" w:cs="Calibri"/>
          <w:sz w:val="22"/>
          <w:szCs w:val="22"/>
        </w:rPr>
        <w:t>, 2020</w:t>
      </w:r>
      <w:r w:rsidR="00E92CF7" w:rsidRPr="00842AC8">
        <w:rPr>
          <w:rFonts w:ascii="Calibri" w:hAnsi="Calibri" w:cs="Calibri"/>
          <w:sz w:val="22"/>
          <w:szCs w:val="22"/>
        </w:rPr>
        <w:t xml:space="preserve"> and the September 22</w:t>
      </w:r>
      <w:r w:rsidR="00E92CF7" w:rsidRPr="00842AC8">
        <w:rPr>
          <w:rFonts w:ascii="Calibri" w:hAnsi="Calibri" w:cs="Calibri"/>
          <w:sz w:val="22"/>
          <w:szCs w:val="22"/>
          <w:vertAlign w:val="superscript"/>
        </w:rPr>
        <w:t>nd</w:t>
      </w:r>
      <w:r w:rsidR="00E92CF7" w:rsidRPr="00842AC8">
        <w:rPr>
          <w:rFonts w:ascii="Calibri" w:hAnsi="Calibri" w:cs="Calibri"/>
          <w:sz w:val="22"/>
          <w:szCs w:val="22"/>
        </w:rPr>
        <w:t xml:space="preserve"> Executive Order on Combating Race and Sex Stereotyping.</w:t>
      </w:r>
      <w:r w:rsidR="001F7E5C" w:rsidRPr="00842AC8">
        <w:rPr>
          <w:rFonts w:ascii="Calibri" w:hAnsi="Calibri" w:cs="Calibri"/>
          <w:sz w:val="22"/>
          <w:szCs w:val="22"/>
        </w:rPr>
        <w:t xml:space="preserve"> These executive actions run counter to current efforts by federal agencies, contractors and </w:t>
      </w:r>
      <w:r w:rsidR="00337C86" w:rsidRPr="00842AC8">
        <w:rPr>
          <w:rFonts w:ascii="Calibri" w:hAnsi="Calibri" w:cs="Calibri"/>
          <w:sz w:val="22"/>
          <w:szCs w:val="22"/>
        </w:rPr>
        <w:t>grantees</w:t>
      </w:r>
      <w:r w:rsidR="001F7E5C" w:rsidRPr="00842AC8">
        <w:rPr>
          <w:rFonts w:ascii="Calibri" w:hAnsi="Calibri" w:cs="Calibri"/>
          <w:sz w:val="22"/>
          <w:szCs w:val="22"/>
        </w:rPr>
        <w:t xml:space="preserve"> to foster a more inclusive and equitable work environment and are detrimental to efforts to address discrimination based on race or gender identity</w:t>
      </w:r>
    </w:p>
    <w:p w14:paraId="13A16BEB" w14:textId="6C2A2D00" w:rsidR="00194D29" w:rsidRPr="00842AC8" w:rsidRDefault="00194D29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DFF224F" w14:textId="1BFBD108" w:rsidR="001F7E5C" w:rsidRPr="00842AC8" w:rsidRDefault="001F7E5C" w:rsidP="00C642CD">
      <w:pPr>
        <w:shd w:val="clear" w:color="auto" w:fill="FFFFFF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842AC8">
        <w:rPr>
          <w:rFonts w:ascii="Calibri" w:hAnsi="Calibri" w:cs="Calibri"/>
          <w:color w:val="000000"/>
          <w:sz w:val="22"/>
          <w:szCs w:val="22"/>
        </w:rPr>
        <w:t>Federal employees, contractors and recipients of federal grants are at the core of the U.S. research and development (R&amp;D) ecosystem, and they play a crucial role in creating a diverse scientific workforce.</w:t>
      </w:r>
      <w:r w:rsidR="00337C86" w:rsidRPr="00842A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42AC8">
        <w:rPr>
          <w:rFonts w:ascii="Calibri" w:hAnsi="Calibri" w:cs="Calibri"/>
          <w:color w:val="000000"/>
          <w:sz w:val="22"/>
          <w:szCs w:val="22"/>
        </w:rPr>
        <w:t xml:space="preserve">While there has been progress, the participation of women and racial and ethnic minorities in the </w:t>
      </w:r>
      <w:r w:rsidR="00337C86" w:rsidRPr="00842AC8">
        <w:rPr>
          <w:rFonts w:ascii="Calibri" w:hAnsi="Calibri" w:cs="Calibri"/>
          <w:color w:val="000000"/>
          <w:sz w:val="22"/>
          <w:szCs w:val="22"/>
        </w:rPr>
        <w:t xml:space="preserve">U.S. scientific and technical workforce </w:t>
      </w:r>
      <w:r w:rsidRPr="00842AC8">
        <w:rPr>
          <w:rFonts w:ascii="Calibri" w:hAnsi="Calibri" w:cs="Calibri"/>
          <w:color w:val="000000"/>
          <w:sz w:val="22"/>
          <w:szCs w:val="22"/>
        </w:rPr>
        <w:t>does not reflect the diversity of our population</w:t>
      </w:r>
      <w:r w:rsidR="00842AC8">
        <w:rPr>
          <w:rFonts w:ascii="Calibri" w:hAnsi="Calibri" w:cs="Calibri"/>
          <w:color w:val="000000"/>
          <w:sz w:val="22"/>
          <w:szCs w:val="22"/>
        </w:rPr>
        <w:t>.</w:t>
      </w:r>
      <w:r w:rsidR="004822F9" w:rsidRPr="00842AC8">
        <w:rPr>
          <w:rFonts w:ascii="Calibri" w:hAnsi="Calibri" w:cs="Calibri"/>
          <w:sz w:val="22"/>
          <w:szCs w:val="22"/>
          <w:vertAlign w:val="superscript"/>
        </w:rPr>
        <w:t>1</w:t>
      </w:r>
      <w:r w:rsidR="00237BE3" w:rsidRPr="00842AC8">
        <w:rPr>
          <w:rFonts w:ascii="Calibri" w:hAnsi="Calibri" w:cs="Calibri"/>
          <w:color w:val="000000"/>
          <w:sz w:val="22"/>
          <w:szCs w:val="22"/>
        </w:rPr>
        <w:t xml:space="preserve"> Their underrepresentation negatively impacts the U.S. R&amp;D enterprise by depriving it of diverse perspectives that are shown to boost innovation and productivity</w:t>
      </w:r>
      <w:r w:rsidR="00842AC8">
        <w:rPr>
          <w:rFonts w:ascii="Calibri" w:hAnsi="Calibri" w:cs="Calibri"/>
          <w:color w:val="000000"/>
          <w:sz w:val="22"/>
          <w:szCs w:val="22"/>
        </w:rPr>
        <w:t>.</w:t>
      </w:r>
      <w:r w:rsidR="004822F9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,3</w:t>
      </w:r>
      <w:r w:rsidR="00237BE3" w:rsidRPr="00842A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37C86" w:rsidRPr="00842AC8">
        <w:rPr>
          <w:rFonts w:ascii="Calibri" w:hAnsi="Calibri" w:cs="Calibri"/>
          <w:color w:val="000000"/>
          <w:sz w:val="22"/>
          <w:szCs w:val="22"/>
        </w:rPr>
        <w:t>In many scientific fields, this lack of diversity cannot be solely attributed to inequities in education or the workforce pipeline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  <w:r w:rsidR="00337C86" w:rsidRPr="00842AC8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337C86" w:rsidRPr="00842AC8">
        <w:rPr>
          <w:rFonts w:ascii="Calibri" w:hAnsi="Calibri" w:cs="Calibri"/>
          <w:sz w:val="22"/>
          <w:szCs w:val="22"/>
        </w:rPr>
        <w:t>the scientific, technical, engineering and math (STEM) community must also confront systemic discrimination and racism.</w:t>
      </w:r>
      <w:r w:rsidR="001D3A2A" w:rsidRPr="00842AC8">
        <w:rPr>
          <w:rFonts w:ascii="Calibri" w:hAnsi="Calibri" w:cs="Calibri"/>
          <w:sz w:val="22"/>
          <w:szCs w:val="22"/>
        </w:rPr>
        <w:t xml:space="preserve"> For </w:t>
      </w:r>
      <w:r w:rsidR="001D3A2A" w:rsidRPr="00842AC8">
        <w:rPr>
          <w:rFonts w:ascii="Calibri" w:hAnsi="Calibri" w:cs="Calibri"/>
          <w:color w:val="000000"/>
          <w:sz w:val="22"/>
          <w:szCs w:val="22"/>
        </w:rPr>
        <w:t>example, it has been shown that, historically, the percentage of federal grants awarded to minority scientists has been lower than their white peers largely due to underlying biases</w:t>
      </w:r>
      <w:r w:rsidR="00842AC8">
        <w:rPr>
          <w:rFonts w:ascii="Calibri" w:hAnsi="Calibri" w:cs="Calibri"/>
          <w:color w:val="000000"/>
          <w:sz w:val="22"/>
          <w:szCs w:val="22"/>
        </w:rPr>
        <w:t>.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5</w:t>
      </w:r>
    </w:p>
    <w:p w14:paraId="291A4E77" w14:textId="4A6A12E9" w:rsidR="001F7E5C" w:rsidRPr="00842AC8" w:rsidRDefault="00237BE3" w:rsidP="00C642CD">
      <w:pPr>
        <w:shd w:val="clear" w:color="auto" w:fill="FFFFFF"/>
        <w:textAlignment w:val="top"/>
        <w:rPr>
          <w:rFonts w:ascii="Calibri" w:hAnsi="Calibri" w:cs="Calibri"/>
          <w:color w:val="000000"/>
          <w:sz w:val="22"/>
          <w:szCs w:val="22"/>
        </w:rPr>
      </w:pPr>
      <w:r w:rsidRPr="00842AC8">
        <w:rPr>
          <w:rFonts w:ascii="Calibri" w:hAnsi="Calibri" w:cs="Calibri"/>
          <w:color w:val="000000"/>
          <w:sz w:val="22"/>
          <w:szCs w:val="22"/>
        </w:rPr>
        <w:t>Research shows that there are systemic and cultural aspects of the current R&amp;D ecosystem which negatively contribute to an inclusive and productive career environment</w:t>
      </w:r>
      <w:r w:rsidR="00842AC8">
        <w:rPr>
          <w:rFonts w:ascii="Calibri" w:hAnsi="Calibri" w:cs="Calibri"/>
          <w:color w:val="000000"/>
          <w:sz w:val="22"/>
          <w:szCs w:val="22"/>
        </w:rPr>
        <w:t>.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r w:rsidR="004822F9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,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  <w:r w:rsidR="004822F9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,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6</w:t>
      </w:r>
      <w:r w:rsidR="00842AC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842AC8">
        <w:rPr>
          <w:rFonts w:ascii="Calibri" w:hAnsi="Calibri" w:cs="Calibri"/>
          <w:color w:val="000000"/>
          <w:sz w:val="22"/>
          <w:szCs w:val="22"/>
        </w:rPr>
        <w:t xml:space="preserve">However, specific actions have been identified to address them, including the implementation of diversity, equity and inclusion (DEI) trainings </w:t>
      </w:r>
      <w:r w:rsidR="001D3A2A" w:rsidRPr="00842AC8">
        <w:rPr>
          <w:rFonts w:ascii="Calibri" w:hAnsi="Calibri" w:cs="Calibri"/>
          <w:color w:val="000000"/>
          <w:sz w:val="22"/>
          <w:szCs w:val="22"/>
        </w:rPr>
        <w:t>using</w:t>
      </w:r>
      <w:r w:rsidRPr="00842A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3A2A" w:rsidRPr="00842AC8">
        <w:rPr>
          <w:rFonts w:ascii="Calibri" w:hAnsi="Calibri" w:cs="Calibri"/>
          <w:color w:val="000000"/>
          <w:sz w:val="22"/>
          <w:szCs w:val="22"/>
        </w:rPr>
        <w:t>an evidence-based approach</w:t>
      </w:r>
      <w:r w:rsidR="00842AC8">
        <w:rPr>
          <w:rFonts w:ascii="Calibri" w:hAnsi="Calibri" w:cs="Calibri"/>
          <w:color w:val="000000"/>
          <w:sz w:val="22"/>
          <w:szCs w:val="22"/>
        </w:rPr>
        <w:t>.</w:t>
      </w:r>
      <w:r w:rsidR="003D35C2" w:rsidRPr="00842AC8">
        <w:rPr>
          <w:rFonts w:ascii="Calibri" w:hAnsi="Calibri" w:cs="Calibri"/>
          <w:color w:val="000000"/>
          <w:sz w:val="22"/>
          <w:szCs w:val="22"/>
          <w:vertAlign w:val="superscript"/>
        </w:rPr>
        <w:t>4,6,7</w:t>
      </w:r>
      <w:r w:rsidR="00842A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0A7B" w:rsidRPr="00AD1752">
        <w:rPr>
          <w:rFonts w:ascii="Calibri" w:hAnsi="Calibri" w:cs="Calibri"/>
          <w:sz w:val="22"/>
          <w:szCs w:val="22"/>
        </w:rPr>
        <w:t xml:space="preserve">Such </w:t>
      </w:r>
      <w:r w:rsidR="00620A7B" w:rsidRPr="00AD1752">
        <w:rPr>
          <w:rFonts w:ascii="Calibri" w:eastAsia="Times New Roman" w:hAnsi="Calibri" w:cs="Calibri"/>
          <w:sz w:val="22"/>
          <w:szCs w:val="22"/>
        </w:rPr>
        <w:t>trainings help employees become more aware of barriers to increased diversity, motivate positive behaviors and attitudes, and improve cognitive skills</w:t>
      </w:r>
      <w:r w:rsidR="00842AC8" w:rsidRPr="00AD1752">
        <w:rPr>
          <w:rFonts w:ascii="Calibri" w:eastAsia="Times New Roman" w:hAnsi="Calibri" w:cs="Calibri"/>
          <w:sz w:val="22"/>
          <w:szCs w:val="22"/>
        </w:rPr>
        <w:t>.</w:t>
      </w:r>
      <w:r w:rsidR="00842AC8" w:rsidRPr="00842AC8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3,7,</w:t>
      </w:r>
      <w:r w:rsidR="003D35C2" w:rsidRPr="00842AC8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8</w:t>
      </w:r>
    </w:p>
    <w:p w14:paraId="5BD70791" w14:textId="3CB6A275" w:rsidR="001D3A2A" w:rsidRPr="00842AC8" w:rsidRDefault="001D3A2A" w:rsidP="001D3A2A">
      <w:pPr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The September 4</w:t>
      </w:r>
      <w:r w:rsidRPr="00842AC8">
        <w:rPr>
          <w:rFonts w:ascii="Calibri" w:hAnsi="Calibri" w:cs="Calibri"/>
          <w:sz w:val="22"/>
          <w:szCs w:val="22"/>
          <w:vertAlign w:val="superscript"/>
        </w:rPr>
        <w:t>th</w:t>
      </w:r>
      <w:r w:rsidRPr="00842AC8">
        <w:rPr>
          <w:rFonts w:ascii="Calibri" w:hAnsi="Calibri" w:cs="Calibri"/>
          <w:sz w:val="22"/>
          <w:szCs w:val="22"/>
        </w:rPr>
        <w:t xml:space="preserve"> memorandum </w:t>
      </w:r>
      <w:r w:rsidR="00620A7B" w:rsidRPr="00842AC8">
        <w:rPr>
          <w:rFonts w:ascii="Calibri" w:hAnsi="Calibri" w:cs="Calibri"/>
          <w:sz w:val="22"/>
          <w:szCs w:val="22"/>
        </w:rPr>
        <w:t>and</w:t>
      </w:r>
      <w:r w:rsidRPr="00842AC8">
        <w:rPr>
          <w:rFonts w:ascii="Calibri" w:hAnsi="Calibri" w:cs="Calibri"/>
          <w:sz w:val="22"/>
          <w:szCs w:val="22"/>
        </w:rPr>
        <w:t xml:space="preserve"> September 22</w:t>
      </w:r>
      <w:r w:rsidRPr="00842AC8">
        <w:rPr>
          <w:rFonts w:ascii="Calibri" w:hAnsi="Calibri" w:cs="Calibri"/>
          <w:sz w:val="22"/>
          <w:szCs w:val="22"/>
          <w:vertAlign w:val="superscript"/>
        </w:rPr>
        <w:t>nd</w:t>
      </w:r>
      <w:r w:rsidRPr="00842AC8">
        <w:rPr>
          <w:rFonts w:ascii="Calibri" w:hAnsi="Calibri" w:cs="Calibri"/>
          <w:sz w:val="22"/>
          <w:szCs w:val="22"/>
        </w:rPr>
        <w:t xml:space="preserve"> Executive Order </w:t>
      </w:r>
      <w:r w:rsidR="00620A7B" w:rsidRPr="00842AC8">
        <w:rPr>
          <w:rFonts w:ascii="Calibri" w:hAnsi="Calibri" w:cs="Calibri"/>
          <w:sz w:val="22"/>
          <w:szCs w:val="22"/>
        </w:rPr>
        <w:t>do</w:t>
      </w:r>
      <w:r w:rsidRPr="00842AC8">
        <w:rPr>
          <w:rFonts w:ascii="Calibri" w:hAnsi="Calibri" w:cs="Calibri"/>
          <w:sz w:val="22"/>
          <w:szCs w:val="22"/>
        </w:rPr>
        <w:t xml:space="preserve"> a disservice to our community </w:t>
      </w:r>
      <w:r w:rsidR="00AD1752">
        <w:rPr>
          <w:rFonts w:ascii="Calibri" w:hAnsi="Calibri" w:cs="Calibri"/>
          <w:sz w:val="22"/>
          <w:szCs w:val="22"/>
        </w:rPr>
        <w:t xml:space="preserve">and research itself </w:t>
      </w:r>
      <w:r w:rsidRPr="00842AC8">
        <w:rPr>
          <w:rFonts w:ascii="Calibri" w:hAnsi="Calibri" w:cs="Calibri"/>
          <w:sz w:val="22"/>
          <w:szCs w:val="22"/>
        </w:rPr>
        <w:t xml:space="preserve">by wrongfully linking DEI trainings to the notion that </w:t>
      </w:r>
      <w:r w:rsidR="0094476E" w:rsidRPr="00842AC8">
        <w:rPr>
          <w:rFonts w:ascii="Calibri" w:hAnsi="Calibri" w:cs="Calibri"/>
          <w:sz w:val="22"/>
          <w:szCs w:val="22"/>
        </w:rPr>
        <w:t>any</w:t>
      </w:r>
      <w:r w:rsidRPr="00842AC8">
        <w:rPr>
          <w:rFonts w:ascii="Calibri" w:hAnsi="Calibri" w:cs="Calibri"/>
          <w:sz w:val="22"/>
          <w:szCs w:val="22"/>
        </w:rPr>
        <w:t>one is inherently racist or sexist</w:t>
      </w:r>
      <w:r w:rsidR="00620A7B" w:rsidRPr="00842AC8">
        <w:rPr>
          <w:rFonts w:ascii="Calibri" w:hAnsi="Calibri" w:cs="Calibri"/>
          <w:sz w:val="22"/>
          <w:szCs w:val="22"/>
        </w:rPr>
        <w:t>.</w:t>
      </w:r>
      <w:r w:rsidRPr="00842AC8">
        <w:rPr>
          <w:rFonts w:ascii="Calibri" w:hAnsi="Calibri" w:cs="Calibri"/>
          <w:sz w:val="22"/>
          <w:szCs w:val="22"/>
        </w:rPr>
        <w:t xml:space="preserve"> </w:t>
      </w:r>
      <w:r w:rsidR="00620A7B" w:rsidRPr="00842AC8">
        <w:rPr>
          <w:rFonts w:ascii="Calibri" w:hAnsi="Calibri" w:cs="Calibri"/>
          <w:sz w:val="22"/>
          <w:szCs w:val="22"/>
        </w:rPr>
        <w:t xml:space="preserve">While </w:t>
      </w:r>
      <w:r w:rsidRPr="00842AC8">
        <w:rPr>
          <w:rFonts w:ascii="Calibri" w:hAnsi="Calibri" w:cs="Calibri"/>
          <w:sz w:val="22"/>
          <w:szCs w:val="22"/>
        </w:rPr>
        <w:t xml:space="preserve">evidence-based DEI trainings are not </w:t>
      </w:r>
      <w:r w:rsidR="00620A7B" w:rsidRPr="00842AC8">
        <w:rPr>
          <w:rFonts w:ascii="Calibri" w:hAnsi="Calibri" w:cs="Calibri"/>
          <w:sz w:val="22"/>
          <w:szCs w:val="22"/>
        </w:rPr>
        <w:t xml:space="preserve">impacted by these actions, </w:t>
      </w:r>
      <w:r w:rsidRPr="00842AC8">
        <w:rPr>
          <w:rFonts w:ascii="Calibri" w:hAnsi="Calibri" w:cs="Calibri"/>
          <w:sz w:val="22"/>
          <w:szCs w:val="22"/>
        </w:rPr>
        <w:t>wrongfully insinuating that DEI trainings are inherently anti-American</w:t>
      </w:r>
      <w:r w:rsidR="00620A7B" w:rsidRPr="00842AC8">
        <w:rPr>
          <w:rFonts w:ascii="Calibri" w:hAnsi="Calibri" w:cs="Calibri"/>
          <w:sz w:val="22"/>
          <w:szCs w:val="22"/>
        </w:rPr>
        <w:t xml:space="preserve"> sends</w:t>
      </w:r>
      <w:r w:rsidRPr="00842AC8">
        <w:rPr>
          <w:rFonts w:ascii="Calibri" w:hAnsi="Calibri" w:cs="Calibri"/>
          <w:sz w:val="22"/>
          <w:szCs w:val="22"/>
        </w:rPr>
        <w:t xml:space="preserve"> a message of division, intolerance and subjectivity that is damaging to our R&amp;D community.</w:t>
      </w:r>
    </w:p>
    <w:p w14:paraId="3A5ACE17" w14:textId="405F9779" w:rsidR="00964425" w:rsidRPr="00842AC8" w:rsidRDefault="00470591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 xml:space="preserve">We </w:t>
      </w:r>
      <w:r w:rsidR="00A82331" w:rsidRPr="00842AC8">
        <w:rPr>
          <w:rFonts w:ascii="Calibri" w:hAnsi="Calibri" w:cs="Calibri"/>
          <w:sz w:val="22"/>
          <w:szCs w:val="22"/>
        </w:rPr>
        <w:t>urge</w:t>
      </w:r>
      <w:r w:rsidRPr="00842AC8">
        <w:rPr>
          <w:rFonts w:ascii="Calibri" w:hAnsi="Calibri" w:cs="Calibri"/>
          <w:sz w:val="22"/>
          <w:szCs w:val="22"/>
        </w:rPr>
        <w:t xml:space="preserve"> you to </w:t>
      </w:r>
      <w:r w:rsidR="00620A7B" w:rsidRPr="00842AC8">
        <w:rPr>
          <w:rFonts w:ascii="Calibri" w:hAnsi="Calibri" w:cs="Calibri"/>
          <w:sz w:val="22"/>
          <w:szCs w:val="22"/>
        </w:rPr>
        <w:t xml:space="preserve">rescind these executive </w:t>
      </w:r>
      <w:r w:rsidR="00AD1752">
        <w:rPr>
          <w:rFonts w:ascii="Calibri" w:hAnsi="Calibri" w:cs="Calibri"/>
          <w:sz w:val="22"/>
          <w:szCs w:val="22"/>
        </w:rPr>
        <w:t xml:space="preserve">actions </w:t>
      </w:r>
      <w:r w:rsidR="008F35ED" w:rsidRPr="00842AC8">
        <w:rPr>
          <w:rFonts w:ascii="Calibri" w:hAnsi="Calibri" w:cs="Calibri"/>
          <w:sz w:val="22"/>
          <w:szCs w:val="22"/>
        </w:rPr>
        <w:t>to help create</w:t>
      </w:r>
      <w:r w:rsidR="00987F5D" w:rsidRPr="00842AC8">
        <w:rPr>
          <w:rFonts w:ascii="Calibri" w:hAnsi="Calibri" w:cs="Calibri"/>
          <w:sz w:val="22"/>
          <w:szCs w:val="22"/>
        </w:rPr>
        <w:t xml:space="preserve"> and sustain</w:t>
      </w:r>
      <w:r w:rsidR="008F35ED" w:rsidRPr="00842AC8">
        <w:rPr>
          <w:rFonts w:ascii="Calibri" w:hAnsi="Calibri" w:cs="Calibri"/>
          <w:sz w:val="22"/>
          <w:szCs w:val="22"/>
        </w:rPr>
        <w:t xml:space="preserve"> a more diverse</w:t>
      </w:r>
      <w:r w:rsidR="00620A7B" w:rsidRPr="00842AC8">
        <w:rPr>
          <w:rFonts w:ascii="Calibri" w:hAnsi="Calibri" w:cs="Calibri"/>
          <w:sz w:val="22"/>
          <w:szCs w:val="22"/>
        </w:rPr>
        <w:t>, inclusive, equitable and</w:t>
      </w:r>
      <w:r w:rsidR="00987F5D" w:rsidRPr="00842AC8">
        <w:rPr>
          <w:rFonts w:ascii="Calibri" w:hAnsi="Calibri" w:cs="Calibri"/>
          <w:sz w:val="22"/>
          <w:szCs w:val="22"/>
        </w:rPr>
        <w:t xml:space="preserve"> productive</w:t>
      </w:r>
      <w:r w:rsidR="008F35ED" w:rsidRPr="00842AC8">
        <w:rPr>
          <w:rFonts w:ascii="Calibri" w:hAnsi="Calibri" w:cs="Calibri"/>
          <w:sz w:val="22"/>
          <w:szCs w:val="22"/>
        </w:rPr>
        <w:t xml:space="preserve"> scientific community</w:t>
      </w:r>
      <w:r w:rsidR="00B83A8E" w:rsidRPr="00842AC8">
        <w:rPr>
          <w:rFonts w:ascii="Calibri" w:hAnsi="Calibri" w:cs="Calibri"/>
          <w:sz w:val="22"/>
          <w:szCs w:val="22"/>
        </w:rPr>
        <w:t xml:space="preserve">. </w:t>
      </w:r>
      <w:r w:rsidR="006D1C10" w:rsidRPr="00842AC8">
        <w:rPr>
          <w:rFonts w:ascii="Calibri" w:hAnsi="Calibri" w:cs="Calibri"/>
          <w:sz w:val="22"/>
          <w:szCs w:val="22"/>
        </w:rPr>
        <w:t xml:space="preserve">A thriving scientific enterprise </w:t>
      </w:r>
      <w:r w:rsidR="005C7CE9" w:rsidRPr="00842AC8">
        <w:rPr>
          <w:rFonts w:ascii="Calibri" w:hAnsi="Calibri" w:cs="Calibri"/>
          <w:sz w:val="22"/>
          <w:szCs w:val="22"/>
        </w:rPr>
        <w:t>makes our nation stronger</w:t>
      </w:r>
      <w:r w:rsidR="00AD1752">
        <w:rPr>
          <w:rFonts w:ascii="Calibri" w:hAnsi="Calibri" w:cs="Calibri"/>
          <w:sz w:val="22"/>
          <w:szCs w:val="22"/>
        </w:rPr>
        <w:t xml:space="preserve"> which in turn </w:t>
      </w:r>
      <w:r w:rsidR="006D1C10" w:rsidRPr="00842AC8">
        <w:rPr>
          <w:rFonts w:ascii="Calibri" w:hAnsi="Calibri" w:cs="Calibri"/>
          <w:sz w:val="22"/>
          <w:szCs w:val="22"/>
        </w:rPr>
        <w:t xml:space="preserve">will drive </w:t>
      </w:r>
      <w:r w:rsidR="005C7CE9" w:rsidRPr="00842AC8">
        <w:rPr>
          <w:rFonts w:ascii="Calibri" w:hAnsi="Calibri" w:cs="Calibri"/>
          <w:sz w:val="22"/>
          <w:szCs w:val="22"/>
        </w:rPr>
        <w:t>a quicker</w:t>
      </w:r>
      <w:r w:rsidR="006D1C10" w:rsidRPr="00842AC8">
        <w:rPr>
          <w:rFonts w:ascii="Calibri" w:hAnsi="Calibri" w:cs="Calibri"/>
          <w:sz w:val="22"/>
          <w:szCs w:val="22"/>
        </w:rPr>
        <w:t xml:space="preserve"> </w:t>
      </w:r>
      <w:r w:rsidR="005B4515" w:rsidRPr="00842AC8">
        <w:rPr>
          <w:rFonts w:ascii="Calibri" w:hAnsi="Calibri" w:cs="Calibri"/>
          <w:sz w:val="22"/>
          <w:szCs w:val="22"/>
        </w:rPr>
        <w:t>recover</w:t>
      </w:r>
      <w:r w:rsidR="006D1C10" w:rsidRPr="00842AC8">
        <w:rPr>
          <w:rFonts w:ascii="Calibri" w:hAnsi="Calibri" w:cs="Calibri"/>
          <w:sz w:val="22"/>
          <w:szCs w:val="22"/>
        </w:rPr>
        <w:t>y</w:t>
      </w:r>
      <w:r w:rsidR="005B4515" w:rsidRPr="00842AC8">
        <w:rPr>
          <w:rFonts w:ascii="Calibri" w:hAnsi="Calibri" w:cs="Calibri"/>
          <w:sz w:val="22"/>
          <w:szCs w:val="22"/>
        </w:rPr>
        <w:t xml:space="preserve"> from COVID-19 and </w:t>
      </w:r>
      <w:r w:rsidR="00B83A8E" w:rsidRPr="00842AC8">
        <w:rPr>
          <w:rFonts w:ascii="Calibri" w:hAnsi="Calibri" w:cs="Calibri"/>
          <w:sz w:val="22"/>
          <w:szCs w:val="22"/>
        </w:rPr>
        <w:t>secure a healthy</w:t>
      </w:r>
      <w:r w:rsidR="008F35ED" w:rsidRPr="00842AC8">
        <w:rPr>
          <w:rFonts w:ascii="Calibri" w:hAnsi="Calibri" w:cs="Calibri"/>
          <w:sz w:val="22"/>
          <w:szCs w:val="22"/>
        </w:rPr>
        <w:t xml:space="preserve"> and</w:t>
      </w:r>
      <w:r w:rsidR="005B4515" w:rsidRPr="00842AC8">
        <w:rPr>
          <w:rFonts w:ascii="Calibri" w:hAnsi="Calibri" w:cs="Calibri"/>
          <w:sz w:val="22"/>
          <w:szCs w:val="22"/>
        </w:rPr>
        <w:t xml:space="preserve"> prosperous future for all Americans.</w:t>
      </w:r>
      <w:r w:rsidR="008F35ED" w:rsidRPr="00842AC8">
        <w:rPr>
          <w:rFonts w:ascii="Calibri" w:hAnsi="Calibri" w:cs="Calibri"/>
          <w:sz w:val="22"/>
          <w:szCs w:val="22"/>
        </w:rPr>
        <w:t xml:space="preserve"> </w:t>
      </w:r>
      <w:r w:rsidR="00557F48" w:rsidRPr="00842AC8">
        <w:rPr>
          <w:rFonts w:ascii="Calibri" w:hAnsi="Calibri" w:cs="Calibri"/>
          <w:sz w:val="22"/>
          <w:szCs w:val="22"/>
        </w:rPr>
        <w:t>Please let us know if we can help with any additional information or idea</w:t>
      </w:r>
      <w:r w:rsidR="00483719" w:rsidRPr="00842AC8">
        <w:rPr>
          <w:rFonts w:ascii="Calibri" w:hAnsi="Calibri" w:cs="Calibri"/>
          <w:sz w:val="22"/>
          <w:szCs w:val="22"/>
        </w:rPr>
        <w:t>s.</w:t>
      </w:r>
    </w:p>
    <w:p w14:paraId="6EC64D2A" w14:textId="3EFCEA9E" w:rsidR="00960F50" w:rsidRPr="00842AC8" w:rsidRDefault="00960F50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7C184E5" w14:textId="2FEFF939" w:rsidR="00960F50" w:rsidRPr="00842AC8" w:rsidRDefault="00960F50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Sincerely,</w:t>
      </w:r>
    </w:p>
    <w:p w14:paraId="2438BDD3" w14:textId="2FD71162" w:rsidR="00960F50" w:rsidRPr="00842AC8" w:rsidRDefault="00960F50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8C2AC40" w14:textId="6A129263" w:rsidR="00960F50" w:rsidRPr="00842AC8" w:rsidRDefault="00960F50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42AC8">
        <w:rPr>
          <w:rFonts w:ascii="Calibri" w:hAnsi="Calibri" w:cs="Calibri"/>
          <w:sz w:val="22"/>
          <w:szCs w:val="22"/>
        </w:rPr>
        <w:t>[[[list of organizations]]]</w:t>
      </w:r>
    </w:p>
    <w:p w14:paraId="416B3EC5" w14:textId="074BE1D9" w:rsidR="00337C86" w:rsidRPr="00842AC8" w:rsidRDefault="00337C86" w:rsidP="003C02B7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CD4C869" w14:textId="77777777" w:rsidR="004822F9" w:rsidRPr="00842AC8" w:rsidRDefault="004822F9" w:rsidP="004822F9">
      <w:pPr>
        <w:pStyle w:val="FootnoteText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842AC8">
        <w:rPr>
          <w:rFonts w:ascii="Calibri" w:hAnsi="Calibri" w:cs="Calibri"/>
          <w:color w:val="2B2A2A"/>
          <w:sz w:val="18"/>
          <w:szCs w:val="18"/>
        </w:rPr>
        <w:t xml:space="preserve">National Science Board, National Science Foundation. 2020. Science and Engineering Indicators 2020: The State of the U.S. Science &amp; Engineering. </w:t>
      </w:r>
      <w:r w:rsidRPr="00842AC8">
        <w:rPr>
          <w:rFonts w:ascii="Calibri" w:hAnsi="Calibri" w:cs="Calibri"/>
          <w:sz w:val="18"/>
          <w:szCs w:val="18"/>
        </w:rPr>
        <w:t>NSB-2020-1</w:t>
      </w:r>
      <w:r w:rsidRPr="00842AC8">
        <w:rPr>
          <w:rFonts w:ascii="Calibri" w:hAnsi="Calibri" w:cs="Calibri"/>
          <w:color w:val="2B2A2A"/>
          <w:sz w:val="18"/>
          <w:szCs w:val="18"/>
        </w:rPr>
        <w:t xml:space="preserve">. Alexandria, VA. Available at </w:t>
      </w:r>
      <w:hyperlink r:id="rId10" w:history="1">
        <w:r w:rsidRPr="00842AC8">
          <w:rPr>
            <w:rStyle w:val="Hyperlink"/>
            <w:rFonts w:ascii="Calibri" w:hAnsi="Calibri" w:cs="Calibri"/>
            <w:sz w:val="18"/>
            <w:szCs w:val="18"/>
          </w:rPr>
          <w:t>https://ncses.nsf.gov/pubs/nsb20201/u-s-s-e-workforce</w:t>
        </w:r>
      </w:hyperlink>
      <w:r w:rsidRPr="00842AC8">
        <w:rPr>
          <w:rFonts w:ascii="Calibri" w:hAnsi="Calibri" w:cs="Calibri"/>
          <w:color w:val="2B2A2A"/>
          <w:sz w:val="18"/>
          <w:szCs w:val="18"/>
        </w:rPr>
        <w:t>.</w:t>
      </w:r>
    </w:p>
    <w:p w14:paraId="68F5DE45" w14:textId="77777777" w:rsidR="003D35C2" w:rsidRPr="00842AC8" w:rsidRDefault="004822F9" w:rsidP="003D35C2">
      <w:pPr>
        <w:pStyle w:val="NoSpacing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</w:rPr>
        <w:t>2</w:t>
      </w:r>
      <w:r w:rsidRPr="00842AC8">
        <w:rPr>
          <w:rFonts w:ascii="Calibri" w:hAnsi="Calibri" w:cs="Calibri"/>
          <w:sz w:val="18"/>
          <w:szCs w:val="18"/>
        </w:rPr>
        <w:t xml:space="preserve"> </w:t>
      </w:r>
      <w:r w:rsidR="003D35C2" w:rsidRPr="00842AC8">
        <w:rPr>
          <w:rFonts w:ascii="Calibri" w:hAnsi="Calibri" w:cs="Calibri"/>
          <w:sz w:val="18"/>
          <w:szCs w:val="18"/>
        </w:rPr>
        <w:t xml:space="preserve">Bowman, N. A., Denson, N., &amp; Park, J. J. (2016). Racial/cultural awareness workshops and post-college civic engagement: A propensity score matching approach. </w:t>
      </w:r>
      <w:r w:rsidR="003D35C2" w:rsidRPr="00842AC8">
        <w:rPr>
          <w:rFonts w:ascii="Calibri" w:hAnsi="Calibri" w:cs="Calibri"/>
          <w:i/>
          <w:iCs/>
          <w:sz w:val="18"/>
          <w:szCs w:val="18"/>
        </w:rPr>
        <w:t>American Educational Research Journal</w:t>
      </w:r>
      <w:r w:rsidR="003D35C2" w:rsidRPr="00842AC8">
        <w:rPr>
          <w:rFonts w:ascii="Calibri" w:hAnsi="Calibri" w:cs="Calibri"/>
          <w:sz w:val="18"/>
          <w:szCs w:val="18"/>
        </w:rPr>
        <w:t xml:space="preserve">, </w:t>
      </w:r>
      <w:r w:rsidR="003D35C2" w:rsidRPr="00842AC8">
        <w:rPr>
          <w:rFonts w:ascii="Calibri" w:hAnsi="Calibri" w:cs="Calibri"/>
          <w:i/>
          <w:iCs/>
          <w:sz w:val="18"/>
          <w:szCs w:val="18"/>
        </w:rPr>
        <w:t>53</w:t>
      </w:r>
      <w:r w:rsidR="003D35C2" w:rsidRPr="00842AC8">
        <w:rPr>
          <w:rFonts w:ascii="Calibri" w:hAnsi="Calibri" w:cs="Calibri"/>
          <w:sz w:val="18"/>
          <w:szCs w:val="18"/>
        </w:rPr>
        <w:t>(6), 1556-1587.</w:t>
      </w:r>
    </w:p>
    <w:p w14:paraId="1A193525" w14:textId="33F1785A" w:rsidR="004822F9" w:rsidRPr="00842AC8" w:rsidRDefault="003D35C2" w:rsidP="004822F9">
      <w:pPr>
        <w:spacing w:after="0" w:line="240" w:lineRule="auto"/>
        <w:rPr>
          <w:rFonts w:ascii="Calibri" w:hAnsi="Calibri" w:cs="Calibri"/>
          <w:color w:val="2B2A2A"/>
          <w:sz w:val="18"/>
          <w:szCs w:val="18"/>
        </w:rPr>
      </w:pPr>
      <w:r w:rsidRPr="00842AC8">
        <w:rPr>
          <w:rFonts w:ascii="Calibri" w:hAnsi="Calibri" w:cs="Calibri"/>
          <w:color w:val="2B2A2A"/>
          <w:sz w:val="18"/>
          <w:szCs w:val="18"/>
          <w:vertAlign w:val="superscript"/>
        </w:rPr>
        <w:t>3</w:t>
      </w:r>
      <w:r w:rsidRPr="00842AC8">
        <w:rPr>
          <w:rFonts w:ascii="Calibri" w:hAnsi="Calibri" w:cs="Calibri"/>
          <w:color w:val="2B2A2A"/>
          <w:sz w:val="18"/>
          <w:szCs w:val="18"/>
        </w:rPr>
        <w:t xml:space="preserve"> </w:t>
      </w:r>
      <w:r w:rsidR="004822F9" w:rsidRPr="00842AC8">
        <w:rPr>
          <w:rFonts w:ascii="Calibri" w:hAnsi="Calibri" w:cs="Calibri"/>
          <w:color w:val="2B2A2A"/>
          <w:sz w:val="18"/>
          <w:szCs w:val="18"/>
        </w:rPr>
        <w:t xml:space="preserve">National Institutes of Health, Bibliography of Diversity Research Articles. Available at </w:t>
      </w:r>
      <w:hyperlink r:id="rId11" w:history="1">
        <w:r w:rsidR="004822F9" w:rsidRPr="00842AC8">
          <w:rPr>
            <w:rStyle w:val="Hyperlink"/>
            <w:rFonts w:ascii="Calibri" w:hAnsi="Calibri" w:cs="Calibri"/>
            <w:sz w:val="18"/>
            <w:szCs w:val="18"/>
          </w:rPr>
          <w:t>https://diversity.nih.gov/find-read-learn/diversity-research-articles</w:t>
        </w:r>
      </w:hyperlink>
    </w:p>
    <w:p w14:paraId="54188D7A" w14:textId="70C2E52A" w:rsidR="004822F9" w:rsidRPr="00842AC8" w:rsidRDefault="003D35C2" w:rsidP="004822F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color w:val="2B2A2A"/>
          <w:sz w:val="18"/>
          <w:szCs w:val="18"/>
          <w:vertAlign w:val="superscript"/>
        </w:rPr>
        <w:t>4</w:t>
      </w:r>
      <w:r w:rsidR="004822F9" w:rsidRPr="00842AC8">
        <w:rPr>
          <w:rFonts w:ascii="Calibri" w:hAnsi="Calibri" w:cs="Calibri"/>
          <w:color w:val="2B2A2A"/>
          <w:sz w:val="18"/>
          <w:szCs w:val="18"/>
          <w:vertAlign w:val="superscript"/>
        </w:rPr>
        <w:t xml:space="preserve"> </w:t>
      </w:r>
      <w:r w:rsidR="004822F9" w:rsidRPr="00842AC8">
        <w:rPr>
          <w:rFonts w:ascii="Calibri" w:hAnsi="Calibri" w:cs="Calibri"/>
          <w:sz w:val="18"/>
          <w:szCs w:val="18"/>
        </w:rPr>
        <w:t xml:space="preserve">National Academies of Sciences, Engineering, and Medicine 2020. Promising Practices for Addressing the Underrepresentation of Women in Science, Engineering, and Medicine: Opening Doors. Washington, DC: The National Academies Press. </w:t>
      </w:r>
      <w:hyperlink r:id="rId12" w:history="1">
        <w:r w:rsidR="004822F9" w:rsidRPr="00842AC8">
          <w:rPr>
            <w:rStyle w:val="Hyperlink"/>
            <w:rFonts w:ascii="Calibri" w:hAnsi="Calibri" w:cs="Calibri"/>
            <w:sz w:val="18"/>
            <w:szCs w:val="18"/>
          </w:rPr>
          <w:t>https://doi.org/10.17226/25585</w:t>
        </w:r>
      </w:hyperlink>
      <w:r w:rsidR="004822F9" w:rsidRPr="00842AC8">
        <w:rPr>
          <w:rFonts w:ascii="Calibri" w:hAnsi="Calibri" w:cs="Calibri"/>
          <w:sz w:val="18"/>
          <w:szCs w:val="18"/>
        </w:rPr>
        <w:t>.</w:t>
      </w:r>
    </w:p>
    <w:p w14:paraId="4CF874A2" w14:textId="158D4A4A" w:rsidR="004822F9" w:rsidRPr="00842AC8" w:rsidRDefault="003D35C2" w:rsidP="004822F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</w:rPr>
        <w:lastRenderedPageBreak/>
        <w:t>5</w:t>
      </w:r>
      <w:r w:rsidR="004822F9" w:rsidRPr="00842AC8">
        <w:rPr>
          <w:rFonts w:ascii="Calibri" w:hAnsi="Calibri" w:cs="Calibri"/>
          <w:sz w:val="18"/>
          <w:szCs w:val="18"/>
        </w:rPr>
        <w:t xml:space="preserve">Ginther, Donna K., et al., </w:t>
      </w:r>
      <w:r w:rsidR="004822F9" w:rsidRPr="00842AC8">
        <w:rPr>
          <w:rFonts w:ascii="Calibri" w:hAnsi="Calibri" w:cs="Calibri"/>
          <w:i/>
          <w:sz w:val="18"/>
          <w:szCs w:val="18"/>
        </w:rPr>
        <w:t>Science</w:t>
      </w:r>
      <w:r w:rsidR="004822F9" w:rsidRPr="00842AC8">
        <w:rPr>
          <w:rFonts w:ascii="Calibri" w:hAnsi="Calibri" w:cs="Calibri"/>
          <w:sz w:val="18"/>
          <w:szCs w:val="18"/>
        </w:rPr>
        <w:t xml:space="preserve">, “Race, Ethnicity, and NIH Research Awards,” 19 Aug 2011: Vol. 333, Issue 6045, pp. 1015-1019. DOI: 10.1126/science.1196783; Hoppe, Travis A., et al., “Topic choice contributes to the lower rate of NIH awards to African-American/black scientists,” </w:t>
      </w:r>
      <w:r w:rsidR="004822F9" w:rsidRPr="00842AC8">
        <w:rPr>
          <w:rFonts w:ascii="Calibri" w:hAnsi="Calibri" w:cs="Calibri"/>
          <w:i/>
          <w:sz w:val="18"/>
          <w:szCs w:val="18"/>
        </w:rPr>
        <w:t>Science Advances</w:t>
      </w:r>
      <w:r w:rsidR="004822F9" w:rsidRPr="00842AC8">
        <w:rPr>
          <w:rFonts w:ascii="Calibri" w:hAnsi="Calibri" w:cs="Calibri"/>
          <w:sz w:val="18"/>
          <w:szCs w:val="18"/>
        </w:rPr>
        <w:t xml:space="preserve">, 09 Oct 2019: Vol. 5, no. 10, eaaw7238. </w:t>
      </w:r>
      <w:hyperlink r:id="rId13" w:history="1">
        <w:r w:rsidR="004822F9" w:rsidRPr="00842AC8">
          <w:rPr>
            <w:rStyle w:val="Hyperlink"/>
            <w:rFonts w:ascii="Calibri" w:hAnsi="Calibri" w:cs="Calibri"/>
            <w:sz w:val="18"/>
            <w:szCs w:val="18"/>
          </w:rPr>
          <w:t>DOI: 10.1126/</w:t>
        </w:r>
        <w:proofErr w:type="gramStart"/>
        <w:r w:rsidR="004822F9" w:rsidRPr="00842AC8">
          <w:rPr>
            <w:rStyle w:val="Hyperlink"/>
            <w:rFonts w:ascii="Calibri" w:hAnsi="Calibri" w:cs="Calibri"/>
            <w:sz w:val="18"/>
            <w:szCs w:val="18"/>
          </w:rPr>
          <w:t>sciadv.aaw</w:t>
        </w:r>
        <w:proofErr w:type="gramEnd"/>
        <w:r w:rsidR="004822F9" w:rsidRPr="00842AC8">
          <w:rPr>
            <w:rStyle w:val="Hyperlink"/>
            <w:rFonts w:ascii="Calibri" w:hAnsi="Calibri" w:cs="Calibri"/>
            <w:sz w:val="18"/>
            <w:szCs w:val="18"/>
          </w:rPr>
          <w:t>7238</w:t>
        </w:r>
      </w:hyperlink>
      <w:r w:rsidR="004822F9" w:rsidRPr="00842AC8">
        <w:rPr>
          <w:rFonts w:ascii="Calibri" w:hAnsi="Calibri" w:cs="Calibri"/>
          <w:sz w:val="18"/>
          <w:szCs w:val="18"/>
        </w:rPr>
        <w:t xml:space="preserve"> </w:t>
      </w:r>
    </w:p>
    <w:p w14:paraId="729F5998" w14:textId="5B36382F" w:rsidR="004822F9" w:rsidRPr="00842AC8" w:rsidRDefault="003D35C2" w:rsidP="004822F9">
      <w:pPr>
        <w:pStyle w:val="FootnoteText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  <w:lang w:val="es-ES"/>
        </w:rPr>
        <w:t>6</w:t>
      </w:r>
      <w:r w:rsidR="004822F9" w:rsidRPr="00842AC8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842AC8">
        <w:rPr>
          <w:rFonts w:ascii="Calibri" w:hAnsi="Calibri" w:cs="Calibri"/>
          <w:sz w:val="18"/>
          <w:szCs w:val="18"/>
        </w:rPr>
        <w:t xml:space="preserve">American Institute of Physics. 2020. The Time is Now: Systemic Changes to Increase African Americans with </w:t>
      </w:r>
      <w:proofErr w:type="gramStart"/>
      <w:r w:rsidRPr="00842AC8">
        <w:rPr>
          <w:rFonts w:ascii="Calibri" w:hAnsi="Calibri" w:cs="Calibri"/>
          <w:sz w:val="18"/>
          <w:szCs w:val="18"/>
        </w:rPr>
        <w:t>Bachelor’s</w:t>
      </w:r>
      <w:proofErr w:type="gramEnd"/>
      <w:r w:rsidRPr="00842AC8">
        <w:rPr>
          <w:rFonts w:ascii="Calibri" w:hAnsi="Calibri" w:cs="Calibri"/>
          <w:sz w:val="18"/>
          <w:szCs w:val="18"/>
        </w:rPr>
        <w:t xml:space="preserve"> Degrees in Physics and Astronomy. College Park, MD: American Institute of Physics.</w:t>
      </w:r>
    </w:p>
    <w:p w14:paraId="76EDEF00" w14:textId="592DFD4D" w:rsidR="003D35C2" w:rsidRPr="00842AC8" w:rsidRDefault="003D35C2" w:rsidP="003D35C2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</w:rPr>
        <w:t>7</w:t>
      </w:r>
      <w:r w:rsidRPr="00842AC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42AC8">
        <w:rPr>
          <w:rFonts w:ascii="Calibri" w:hAnsi="Calibri" w:cs="Calibri"/>
          <w:sz w:val="18"/>
          <w:szCs w:val="18"/>
        </w:rPr>
        <w:t>Pfund</w:t>
      </w:r>
      <w:proofErr w:type="spellEnd"/>
      <w:r w:rsidRPr="00842AC8">
        <w:rPr>
          <w:rFonts w:ascii="Calibri" w:hAnsi="Calibri" w:cs="Calibri"/>
          <w:sz w:val="18"/>
          <w:szCs w:val="18"/>
        </w:rPr>
        <w:t>, Christine, et. al., Building National Capacity for Research Mentor Training: An Evidence-Based Approach to Training the Trainers  CBE—Life Sciences Education 2015 14:2</w:t>
      </w:r>
      <w:r w:rsidR="00842AC8" w:rsidRPr="00842AC8">
        <w:rPr>
          <w:rFonts w:ascii="Calibri" w:hAnsi="Calibri" w:cs="Calibri"/>
          <w:sz w:val="18"/>
          <w:szCs w:val="18"/>
        </w:rPr>
        <w:t xml:space="preserve"> </w:t>
      </w:r>
      <w:hyperlink r:id="rId14" w:history="1">
        <w:r w:rsidR="00842AC8" w:rsidRPr="00842AC8">
          <w:rPr>
            <w:rStyle w:val="Hyperlink"/>
            <w:rFonts w:ascii="Calibri" w:hAnsi="Calibri" w:cs="Calibri"/>
            <w:sz w:val="18"/>
            <w:szCs w:val="18"/>
          </w:rPr>
          <w:t>10.1187/cbe.14-10-0184</w:t>
        </w:r>
      </w:hyperlink>
    </w:p>
    <w:p w14:paraId="0523E354" w14:textId="4E3CB21F" w:rsidR="004822F9" w:rsidRPr="00842AC8" w:rsidRDefault="00842AC8" w:rsidP="003C02B7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842AC8">
        <w:rPr>
          <w:rFonts w:ascii="Calibri" w:hAnsi="Calibri" w:cs="Calibri"/>
          <w:sz w:val="18"/>
          <w:szCs w:val="18"/>
          <w:vertAlign w:val="superscript"/>
          <w:lang w:val="es-ES"/>
        </w:rPr>
        <w:t xml:space="preserve">8 </w:t>
      </w:r>
      <w:r w:rsidR="003D35C2" w:rsidRPr="00842AC8">
        <w:rPr>
          <w:rFonts w:ascii="Calibri" w:hAnsi="Calibri" w:cs="Calibri"/>
          <w:sz w:val="18"/>
          <w:szCs w:val="18"/>
          <w:lang w:val="es-ES"/>
        </w:rPr>
        <w:t xml:space="preserve">Chang, M. J., </w:t>
      </w:r>
      <w:proofErr w:type="spellStart"/>
      <w:r w:rsidR="003D35C2" w:rsidRPr="00842AC8">
        <w:rPr>
          <w:rFonts w:ascii="Calibri" w:hAnsi="Calibri" w:cs="Calibri"/>
          <w:sz w:val="18"/>
          <w:szCs w:val="18"/>
          <w:lang w:val="es-ES"/>
        </w:rPr>
        <w:t>Denson</w:t>
      </w:r>
      <w:proofErr w:type="spellEnd"/>
      <w:r w:rsidR="003D35C2" w:rsidRPr="00842AC8">
        <w:rPr>
          <w:rFonts w:ascii="Calibri" w:hAnsi="Calibri" w:cs="Calibri"/>
          <w:sz w:val="18"/>
          <w:szCs w:val="18"/>
          <w:lang w:val="es-ES"/>
        </w:rPr>
        <w:t xml:space="preserve">, N., </w:t>
      </w:r>
      <w:proofErr w:type="spellStart"/>
      <w:r w:rsidR="003D35C2" w:rsidRPr="00842AC8">
        <w:rPr>
          <w:rFonts w:ascii="Calibri" w:hAnsi="Calibri" w:cs="Calibri"/>
          <w:sz w:val="18"/>
          <w:szCs w:val="18"/>
          <w:lang w:val="es-ES"/>
        </w:rPr>
        <w:t>Saenz</w:t>
      </w:r>
      <w:proofErr w:type="spellEnd"/>
      <w:r w:rsidR="003D35C2" w:rsidRPr="00842AC8">
        <w:rPr>
          <w:rFonts w:ascii="Calibri" w:hAnsi="Calibri" w:cs="Calibri"/>
          <w:sz w:val="18"/>
          <w:szCs w:val="18"/>
          <w:lang w:val="es-ES"/>
        </w:rPr>
        <w:t xml:space="preserve">, V., &amp; Misa, K. (2006). </w:t>
      </w:r>
      <w:r w:rsidR="003D35C2" w:rsidRPr="00842AC8">
        <w:rPr>
          <w:rFonts w:ascii="Calibri" w:hAnsi="Calibri" w:cs="Calibri"/>
          <w:sz w:val="18"/>
          <w:szCs w:val="18"/>
        </w:rPr>
        <w:t xml:space="preserve">The educational benefits of sustaining cross-racial interaction among undergraduates. </w:t>
      </w:r>
      <w:r w:rsidR="003D35C2" w:rsidRPr="00842AC8">
        <w:rPr>
          <w:rFonts w:ascii="Calibri" w:hAnsi="Calibri" w:cs="Calibri"/>
          <w:i/>
          <w:iCs/>
          <w:sz w:val="18"/>
          <w:szCs w:val="18"/>
        </w:rPr>
        <w:t>The Journal of Higher Education</w:t>
      </w:r>
      <w:r w:rsidR="003D35C2" w:rsidRPr="00842AC8">
        <w:rPr>
          <w:rFonts w:ascii="Calibri" w:hAnsi="Calibri" w:cs="Calibri"/>
          <w:sz w:val="18"/>
          <w:szCs w:val="18"/>
        </w:rPr>
        <w:t xml:space="preserve">, </w:t>
      </w:r>
      <w:r w:rsidR="003D35C2" w:rsidRPr="00842AC8">
        <w:rPr>
          <w:rFonts w:ascii="Calibri" w:hAnsi="Calibri" w:cs="Calibri"/>
          <w:i/>
          <w:iCs/>
          <w:sz w:val="18"/>
          <w:szCs w:val="18"/>
        </w:rPr>
        <w:t>77</w:t>
      </w:r>
      <w:r w:rsidR="003D35C2" w:rsidRPr="00842AC8">
        <w:rPr>
          <w:rFonts w:ascii="Calibri" w:hAnsi="Calibri" w:cs="Calibri"/>
          <w:sz w:val="18"/>
          <w:szCs w:val="18"/>
        </w:rPr>
        <w:t>(3), 430-455.</w:t>
      </w:r>
    </w:p>
    <w:p w14:paraId="29B342A5" w14:textId="77777777" w:rsidR="003D35C2" w:rsidRPr="00842AC8" w:rsidRDefault="003D35C2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3D35C2" w:rsidRPr="00842AC8" w:rsidSect="00601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E32F" w14:textId="77777777" w:rsidR="00266C0A" w:rsidRDefault="00266C0A" w:rsidP="00D63E4B">
      <w:pPr>
        <w:spacing w:after="0" w:line="240" w:lineRule="auto"/>
      </w:pPr>
      <w:r>
        <w:separator/>
      </w:r>
    </w:p>
  </w:endnote>
  <w:endnote w:type="continuationSeparator" w:id="0">
    <w:p w14:paraId="234CF29A" w14:textId="77777777" w:rsidR="00266C0A" w:rsidRDefault="00266C0A" w:rsidP="00D6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19F8" w14:textId="77777777" w:rsidR="00266C0A" w:rsidRDefault="00266C0A" w:rsidP="00D63E4B">
      <w:pPr>
        <w:spacing w:after="0" w:line="240" w:lineRule="auto"/>
      </w:pPr>
      <w:r>
        <w:separator/>
      </w:r>
    </w:p>
  </w:footnote>
  <w:footnote w:type="continuationSeparator" w:id="0">
    <w:p w14:paraId="52EFE013" w14:textId="77777777" w:rsidR="00266C0A" w:rsidRDefault="00266C0A" w:rsidP="00D6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20"/>
    <w:rsid w:val="00040F1D"/>
    <w:rsid w:val="00056F60"/>
    <w:rsid w:val="000C472C"/>
    <w:rsid w:val="000E273A"/>
    <w:rsid w:val="000F4DA5"/>
    <w:rsid w:val="00135B77"/>
    <w:rsid w:val="00194D29"/>
    <w:rsid w:val="001954A9"/>
    <w:rsid w:val="001C20D1"/>
    <w:rsid w:val="001D3A2A"/>
    <w:rsid w:val="001E0045"/>
    <w:rsid w:val="001F7E5C"/>
    <w:rsid w:val="002001B4"/>
    <w:rsid w:val="00207A5B"/>
    <w:rsid w:val="00237BE3"/>
    <w:rsid w:val="00256660"/>
    <w:rsid w:val="00264261"/>
    <w:rsid w:val="00266C0A"/>
    <w:rsid w:val="00270755"/>
    <w:rsid w:val="002E15EF"/>
    <w:rsid w:val="00325E94"/>
    <w:rsid w:val="00337C86"/>
    <w:rsid w:val="00384A86"/>
    <w:rsid w:val="003A424F"/>
    <w:rsid w:val="003C02B7"/>
    <w:rsid w:val="003D0991"/>
    <w:rsid w:val="003D35C2"/>
    <w:rsid w:val="00405716"/>
    <w:rsid w:val="00407310"/>
    <w:rsid w:val="004564CF"/>
    <w:rsid w:val="00470591"/>
    <w:rsid w:val="004822F9"/>
    <w:rsid w:val="00483719"/>
    <w:rsid w:val="004F1EB1"/>
    <w:rsid w:val="005450C6"/>
    <w:rsid w:val="0055015E"/>
    <w:rsid w:val="00550405"/>
    <w:rsid w:val="00552837"/>
    <w:rsid w:val="00557F48"/>
    <w:rsid w:val="005815B0"/>
    <w:rsid w:val="005906EF"/>
    <w:rsid w:val="005A05ED"/>
    <w:rsid w:val="005B4515"/>
    <w:rsid w:val="005C7CE9"/>
    <w:rsid w:val="005E0C87"/>
    <w:rsid w:val="005F0811"/>
    <w:rsid w:val="00601767"/>
    <w:rsid w:val="00603363"/>
    <w:rsid w:val="00605C2A"/>
    <w:rsid w:val="006108C9"/>
    <w:rsid w:val="00620A7B"/>
    <w:rsid w:val="00683181"/>
    <w:rsid w:val="0068763A"/>
    <w:rsid w:val="006951E5"/>
    <w:rsid w:val="006B44F6"/>
    <w:rsid w:val="006D1C10"/>
    <w:rsid w:val="006D40F1"/>
    <w:rsid w:val="006D74AB"/>
    <w:rsid w:val="007009E9"/>
    <w:rsid w:val="007349B1"/>
    <w:rsid w:val="0076239A"/>
    <w:rsid w:val="007912C4"/>
    <w:rsid w:val="00842AC8"/>
    <w:rsid w:val="0086568E"/>
    <w:rsid w:val="008859DC"/>
    <w:rsid w:val="008A2069"/>
    <w:rsid w:val="008B0896"/>
    <w:rsid w:val="008B42C7"/>
    <w:rsid w:val="008D1CBA"/>
    <w:rsid w:val="008F35ED"/>
    <w:rsid w:val="009063B3"/>
    <w:rsid w:val="00913CF4"/>
    <w:rsid w:val="009443CA"/>
    <w:rsid w:val="0094476E"/>
    <w:rsid w:val="00960F50"/>
    <w:rsid w:val="00964425"/>
    <w:rsid w:val="0097203B"/>
    <w:rsid w:val="00987F5D"/>
    <w:rsid w:val="009D139C"/>
    <w:rsid w:val="009E19EA"/>
    <w:rsid w:val="00A76673"/>
    <w:rsid w:val="00A82331"/>
    <w:rsid w:val="00AB397A"/>
    <w:rsid w:val="00AB6CAC"/>
    <w:rsid w:val="00AD1752"/>
    <w:rsid w:val="00AF1DDC"/>
    <w:rsid w:val="00B3775A"/>
    <w:rsid w:val="00B83A8E"/>
    <w:rsid w:val="00BE7A5E"/>
    <w:rsid w:val="00C11823"/>
    <w:rsid w:val="00C42B0F"/>
    <w:rsid w:val="00C44415"/>
    <w:rsid w:val="00C642CD"/>
    <w:rsid w:val="00C768DB"/>
    <w:rsid w:val="00CB1394"/>
    <w:rsid w:val="00D24057"/>
    <w:rsid w:val="00D505BC"/>
    <w:rsid w:val="00D63E4B"/>
    <w:rsid w:val="00E0489B"/>
    <w:rsid w:val="00E4649B"/>
    <w:rsid w:val="00E534CA"/>
    <w:rsid w:val="00E70947"/>
    <w:rsid w:val="00E86CA0"/>
    <w:rsid w:val="00E91F5E"/>
    <w:rsid w:val="00E92CF7"/>
    <w:rsid w:val="00EA0120"/>
    <w:rsid w:val="00ED7EDE"/>
    <w:rsid w:val="00F46962"/>
    <w:rsid w:val="00F9117B"/>
    <w:rsid w:val="00F9482D"/>
    <w:rsid w:val="00FB7CE9"/>
    <w:rsid w:val="00FC4764"/>
    <w:rsid w:val="00FD6020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8B73"/>
  <w15:chartTrackingRefBased/>
  <w15:docId w15:val="{1EC070C2-E38E-4391-89B6-AEA1BFF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E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E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E4B"/>
    <w:rPr>
      <w:vertAlign w:val="superscript"/>
    </w:rPr>
  </w:style>
  <w:style w:type="character" w:customStyle="1" w:styleId="hgkelc">
    <w:name w:val="hgkelc"/>
    <w:basedOn w:val="DefaultParagraphFont"/>
    <w:rsid w:val="00C42B0F"/>
  </w:style>
  <w:style w:type="paragraph" w:styleId="EndnoteText">
    <w:name w:val="endnote text"/>
    <w:basedOn w:val="Normal"/>
    <w:link w:val="EndnoteTextChar"/>
    <w:uiPriority w:val="99"/>
    <w:semiHidden/>
    <w:unhideWhenUsed/>
    <w:rsid w:val="00C118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8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1823"/>
    <w:rPr>
      <w:vertAlign w:val="superscript"/>
    </w:rPr>
  </w:style>
  <w:style w:type="paragraph" w:styleId="NoSpacing">
    <w:name w:val="No Spacing"/>
    <w:uiPriority w:val="1"/>
    <w:qFormat/>
    <w:rsid w:val="00C11823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872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doi:%2010.1126/sciadv.aaw723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7226/2558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versity.nih.gov/find-read-learn/diversity-research-articl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cses.nsf.gov/pubs/nsb20201/u-s-s-e-workfor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10.1187/cbe.14-10-0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2223AEFEA4D408120AEE5CD3DD2B0" ma:contentTypeVersion="7" ma:contentTypeDescription="Create a new document." ma:contentTypeScope="" ma:versionID="69232bfd26a4995872f81496b182d845">
  <xsd:schema xmlns:xsd="http://www.w3.org/2001/XMLSchema" xmlns:xs="http://www.w3.org/2001/XMLSchema" xmlns:p="http://schemas.microsoft.com/office/2006/metadata/properties" xmlns:ns3="e2d94582-c911-41d3-b9b4-5418caf358d9" xmlns:ns4="3fbe963c-699d-4eb1-94f6-b49610df00fd" targetNamespace="http://schemas.microsoft.com/office/2006/metadata/properties" ma:root="true" ma:fieldsID="77974b092b953a82c13e82f1b220bf11" ns3:_="" ns4:_="">
    <xsd:import namespace="e2d94582-c911-41d3-b9b4-5418caf358d9"/>
    <xsd:import namespace="3fbe963c-699d-4eb1-94f6-b49610df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4582-c911-41d3-b9b4-5418caf3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963c-699d-4eb1-94f6-b49610df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7906-CF6A-4855-8A0A-9C7940400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9B42E-9989-4B8A-999A-49BD4EABF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0B9A6-3A7E-43FA-9962-F6299FB9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4582-c911-41d3-b9b4-5418caf358d9"/>
    <ds:schemaRef ds:uri="3fbe963c-699d-4eb1-94f6-b49610df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65944-9E37-4BB7-91F1-EFA6D292D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Elborz Mazanderan</dc:creator>
  <cp:keywords/>
  <dc:description/>
  <cp:lastModifiedBy>Mark Elsesser</cp:lastModifiedBy>
  <cp:revision>7</cp:revision>
  <dcterms:created xsi:type="dcterms:W3CDTF">2020-09-28T14:09:00Z</dcterms:created>
  <dcterms:modified xsi:type="dcterms:W3CDTF">2020-09-28T18:55:00Z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0x0101004862223AEFEA4D408120AEE5CD3DD2B0</vt:lpwstr>
  </property>
</Properties>
</file>